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rFonts w:ascii="Calibri" w:cs="Calibri" w:eastAsia="Calibri" w:hAnsi="Calibri"/>
          <w:b/>
          <w:bCs/>
          <w:color w:val="2F5876"/>
          <w:sz w:val="50"/>
          <w:szCs w:val="50"/>
        </w:rPr>
        <w:t xml:space="preserve">Picking Up a Package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95959"/>
          <w:sz w:val="30"/>
          <w:szCs w:val="30"/>
        </w:rPr>
        <w:t xml:space="preserve">UCSB Physics Department · Purchasing Cheat Sheet</w:t>
      </w:r>
    </w:p>
    <w:p>
      <w:pPr>
        <w:spacing w:after="200"/>
      </w:pPr>
      <w:r>
        <w:drawing>
          <wp:inline distT="0" distB="0" distL="0" distR="0">
            <wp:extent cx="3724275" cy="28575"/>
            <wp:effectExtent t="0" r="0" b="0" l="0"/>
            <wp:docPr id="1" name="Decorative graphic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keepNext/>
        <w:tabs>
          <w:tab w:val="left" w:pos="540"/>
        </w:tabs>
        <w:spacing w:before="200" w:after="80"/>
      </w:pPr>
      <w:r>
        <w:rPr>
          <w:position w:val="-11"/>
        </w:rPr>
        <w:drawing>
          <wp:inline distT="0" distB="0" distL="0" distR="0">
            <wp:extent cx="285750" cy="285750"/>
            <wp:effectExtent t="0" r="0" b="0" l="0"/>
            <wp:docPr id="2" name="Step 1" descr="Ste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Calibri" w:cs="Calibri" w:eastAsia="Calibri" w:hAnsi="Calibri"/>
          <w:b/>
          <w:bCs/>
          <w:color w:val="2F5876"/>
          <w:sz w:val="32"/>
          <w:szCs w:val="32"/>
        </w:rPr>
        <w:t xml:space="preserve">Delivered doesn’t mean ready for pickup</w:t>
      </w:r>
    </w:p>
    <w:p>
      <w:pPr>
        <w:numPr>
          <w:ilvl w:val="0"/>
          <w:numId w:val="10"/>
        </w:numPr>
        <w:spacing w:after="50" w:before="50"/>
      </w:pPr>
      <w:r>
        <w:rPr>
          <w:rFonts w:ascii="Calibri" w:cs="Calibri" w:eastAsia="Calibri" w:hAnsi="Calibri"/>
          <w:color w:val="3A3A3A"/>
          <w:sz w:val="26"/>
          <w:szCs w:val="26"/>
        </w:rPr>
        <w:t xml:space="preserve">Packages are delivered to the Physics Purchasing Office</w:t>
      </w:r>
    </w:p>
    <w:p>
      <w:pPr>
        <w:numPr>
          <w:ilvl w:val="0"/>
          <w:numId w:val="10"/>
        </w:numPr>
        <w:spacing w:after="50" w:before="50"/>
      </w:pPr>
      <w:r>
        <w:rPr>
          <w:rFonts w:ascii="Calibri" w:cs="Calibri" w:eastAsia="Calibri" w:hAnsi="Calibri"/>
          <w:color w:val="3A3A3A"/>
          <w:sz w:val="26"/>
          <w:szCs w:val="26"/>
        </w:rPr>
        <w:t xml:space="preserve">Each one must be processed and entered into the system first</w:t>
      </w:r>
    </w:p>
    <w:p>
      <w:pPr>
        <w:numPr>
          <w:ilvl w:val="0"/>
          <w:numId w:val="10"/>
        </w:numPr>
        <w:spacing w:after="50" w:before="50"/>
      </w:pPr>
      <w:r>
        <w:rPr>
          <w:rFonts w:ascii="Calibri" w:cs="Calibri" w:eastAsia="Calibri" w:hAnsi="Calibri"/>
          <w:color w:val="3A3A3A"/>
          <w:sz w:val="26"/>
          <w:szCs w:val="26"/>
        </w:rPr>
        <w:t xml:space="preserve">Once it’s ready, we’ll send you a notification — please wait until then</w:t>
      </w:r>
    </w:p>
    <w:p>
      <w:pPr>
        <w:spacing w:after="40" w:before="40"/>
        <w:jc w:val="center"/>
      </w:pPr>
      <w:r>
        <w:drawing>
          <wp:inline distT="0" distB="0" distL="0" distR="0">
            <wp:extent cx="146304" cy="207264"/>
            <wp:effectExtent t="0" r="0" b="0" l="0"/>
            <wp:docPr id="3" name="Decorative 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" cy="20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 w:before="60"/>
        <w:jc w:val="center"/>
      </w:pPr>
      <w:r>
        <mc:AlternateContent>
          <mc:Choice Requires="wps">
            <w:drawing>
              <wp:inline distT="0" distB="0" distL="0" distR="0">
                <wp:extent cx="2785169" cy="420624"/>
                <wp:effectExtent l="50800" t="25400" r="50800" b="76200"/>
                <wp:docPr id="4" name="Was it ordered on Gateway?" descr="Was it ordered on Gateway?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5169" cy="420624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3E6B96"/>
                        </a:solidFill>
                        <a:ln>
                          <a:noFill/>
                        </a:ln>
                        <a:effectLst>
                          <a:outerShdw blurRad="50800" dist="25400" dir="5400000" algn="t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txbx>
                        <w:txbxContent>
                          <w:p>
                            <w:pPr>
                              <w:spacing w:before="0" w:after="0" w:line="240" w:lineRule="auto"/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cs="Calibri" w:eastAsia="Calibri" w:hAnsi="Calibri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 xml:space="preserve">Was it ordered on Gateway?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</mc:AlternateContent>
      </w:r>
    </w:p>
    <w:p>
      <w:pPr>
        <w:pStyle w:val="Heading1"/>
        <w:keepNext/>
        <w:tabs>
          <w:tab w:val="left" w:pos="540"/>
        </w:tabs>
        <w:spacing w:before="200" w:after="80"/>
      </w:pPr>
      <w:r>
        <w:rPr>
          <w:position w:val="-11"/>
        </w:rPr>
        <w:drawing>
          <wp:inline distT="0" distB="0" distL="0" distR="0">
            <wp:extent cx="285750" cy="285750"/>
            <wp:effectExtent t="0" r="0" b="0" l="0"/>
            <wp:docPr id="5" name="Step 2" descr="Ste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Calibri" w:cs="Calibri" w:eastAsia="Calibri" w:hAnsi="Calibri"/>
          <w:b/>
          <w:bCs/>
          <w:color w:val="2F5876"/>
          <w:sz w:val="32"/>
          <w:szCs w:val="32"/>
        </w:rPr>
        <w:t xml:space="preserve">Your notification — two paths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auto" w:sz="0"/>
          <w:insideV w:val="none" w:color="auto" w:sz="0"/>
        </w:tblBorders>
        <w:tblCaption w:val="Notification paths"/>
        <w:tblDescription w:val="Compares Gateway orders with packages not ordered on Gateway: how you are notified and whether you sign the pack slip.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ECF3" w:val="clear"/>
            <w:tcMar>
              <w:top w:type="dxa" w:w="200"/>
              <w:left w:type="dxa" w:w="180"/>
              <w:bottom w:type="dxa" w:w="0"/>
              <w:right w:type="dxa" w:w="180"/>
            </w:tcMar>
          </w:tcPr>
          <w:p>
            <w:pPr>
              <w:spacing w:after="150" w:before="0"/>
              <w:jc w:val="center"/>
            </w:pPr>
            <w:r>
              <mc:AlternateContent>
                <mc:Choice Requires="wps">
                  <w:drawing>
                    <wp:inline distT="0" distB="0" distL="0" distR="0">
                      <wp:extent cx="1672149" cy="365760"/>
                      <wp:effectExtent l="50800" t="25400" r="50800" b="76200"/>
                      <wp:docPr id="6" name="Gateway Order" descr="Gateway Or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2149" cy="36576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3E6B96"/>
                              </a:solidFill>
                              <a:ln>
                                <a:noFill/>
                              </a:ln>
                              <a:effectLst>
                                <a:outerShdw blurRad="50800" dist="25400" dir="5400000" algn="t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>
                                  <w:pPr>
                                    <w:spacing w:before="0" w:after="0" w:line="240" w:lineRule="auto"/>
                                    <w:jc w:val="center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Calibri" w:cs="Calibri" w:eastAsia="Calibri" w:hAnsi="Calibri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 xml:space="preserve">Gateway Order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</mc:AlternateConten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4F4" w:val="clear"/>
            <w:tcMar>
              <w:top w:type="dxa" w:w="200"/>
              <w:left w:type="dxa" w:w="180"/>
              <w:bottom w:type="dxa" w:w="0"/>
              <w:right w:type="dxa" w:w="180"/>
            </w:tcMar>
          </w:tcPr>
          <w:p>
            <w:pPr>
              <w:spacing w:after="150" w:before="0"/>
              <w:jc w:val="center"/>
            </w:pPr>
            <w:r>
              <mc:AlternateContent>
                <mc:Choice Requires="wps">
                  <w:drawing>
                    <wp:inline distT="0" distB="0" distL="0" distR="0">
                      <wp:extent cx="1672149" cy="365760"/>
                      <wp:effectExtent l="50800" t="25400" r="50800" b="76200"/>
                      <wp:docPr id="7" name="Not a Gateway Order" descr="Not a Gateway Or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2149" cy="36576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3D7575"/>
                              </a:solidFill>
                              <a:ln>
                                <a:noFill/>
                              </a:ln>
                              <a:effectLst>
                                <a:outerShdw blurRad="50800" dist="25400" dir="5400000" algn="t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>
                                  <w:pPr>
                                    <w:spacing w:before="0" w:after="0" w:line="240" w:lineRule="auto"/>
                                    <w:jc w:val="center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Calibri" w:cs="Calibri" w:eastAsia="Calibri" w:hAnsi="Calibri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 xml:space="preserve">Not a Gateway Order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</mc:AlternateContent>
            </w:r>
          </w:p>
        </w:tc>
      </w:tr>
      <w:tr>
        <w:trPr>
          <w:cantSplit/>
        </w:trP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ECF3" w:val="clear"/>
            <w:tcMar>
              <w:top w:type="dxa" w:w="0"/>
              <w:left w:type="dxa" w:w="180"/>
              <w:bottom w:type="dxa" w:w="220"/>
              <w:right w:type="dxa" w:w="180"/>
            </w:tcMar>
          </w:tcPr>
          <w:p>
            <w:pPr>
              <w:numPr>
                <w:ilvl w:val="0"/>
                <w:numId w:val="11"/>
              </w:numPr>
              <w:spacing w:after="90"/>
            </w:pPr>
            <w:r>
              <w:rPr>
                <w:rFonts w:ascii="Calibri" w:cs="Calibri" w:eastAsia="Calibri" w:hAnsi="Calibri"/>
                <w:color w:val="3A3A3A"/>
                <w:sz w:val="22"/>
                <w:szCs w:val="22"/>
              </w:rPr>
              <w:t xml:space="preserve">Package is from an order placed on Gateway</w:t>
            </w:r>
          </w:p>
          <w:p>
            <w:pPr>
              <w:numPr>
                <w:ilvl w:val="0"/>
                <w:numId w:val="11"/>
              </w:numPr>
              <w:spacing w:after="90"/>
            </w:pPr>
            <w:r>
              <w:rPr>
                <w:rFonts w:ascii="Calibri" w:cs="Calibri" w:eastAsia="Calibri" w:hAnsi="Calibri"/>
                <w:color w:val="3A3A3A"/>
                <w:sz w:val="22"/>
                <w:szCs w:val="22"/>
              </w:rPr>
              <w:t xml:space="preserve">You’ll receive a Gateway notification</w:t>
            </w:r>
          </w:p>
          <w:p>
            <w:pPr>
              <w:numPr>
                <w:ilvl w:val="0"/>
                <w:numId w:val="11"/>
              </w:numPr>
              <w:spacing w:after="90"/>
            </w:pPr>
            <w:r>
              <w:rPr>
                <w:rFonts w:ascii="Calibri" w:cs="Calibri" w:eastAsia="Calibri" w:hAnsi="Calibri"/>
                <w:color w:val="3A3A3A"/>
                <w:sz w:val="22"/>
                <w:szCs w:val="22"/>
              </w:rPr>
              <w:t xml:space="preserve">Sign the pack slip at pickup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4F4" w:val="clear"/>
            <w:tcMar>
              <w:top w:type="dxa" w:w="0"/>
              <w:left w:type="dxa" w:w="180"/>
              <w:bottom w:type="dxa" w:w="220"/>
              <w:right w:type="dxa" w:w="180"/>
            </w:tcMar>
          </w:tcPr>
          <w:p>
            <w:pPr>
              <w:numPr>
                <w:ilvl w:val="0"/>
                <w:numId w:val="12"/>
              </w:numPr>
              <w:spacing w:after="90"/>
            </w:pPr>
            <w:r>
              <w:rPr>
                <w:rFonts w:ascii="Calibri" w:cs="Calibri" w:eastAsia="Calibri" w:hAnsi="Calibri"/>
                <w:color w:val="3A3A3A"/>
                <w:sz w:val="22"/>
                <w:szCs w:val="22"/>
              </w:rPr>
              <w:t xml:space="preserve">Personal shipment, collaborator sample, etc.</w:t>
            </w:r>
          </w:p>
          <w:p>
            <w:pPr>
              <w:numPr>
                <w:ilvl w:val="0"/>
                <w:numId w:val="12"/>
              </w:numPr>
              <w:spacing w:after="90"/>
            </w:pPr>
            <w:r>
              <w:rPr>
                <w:rFonts w:ascii="Calibri" w:cs="Calibri" w:eastAsia="Calibri" w:hAnsi="Calibri"/>
                <w:color w:val="3A3A3A"/>
                <w:sz w:val="22"/>
                <w:szCs w:val="22"/>
              </w:rPr>
              <w:t xml:space="preserve">You’ll receive an email notification</w:t>
            </w:r>
          </w:p>
          <w:p>
            <w:pPr>
              <w:numPr>
                <w:ilvl w:val="0"/>
                <w:numId w:val="12"/>
              </w:numPr>
              <w:spacing w:after="90"/>
            </w:pPr>
            <w:r>
              <w:rPr>
                <w:rFonts w:ascii="Calibri" w:cs="Calibri" w:eastAsia="Calibri" w:hAnsi="Calibri"/>
                <w:color w:val="3A3A3A"/>
                <w:sz w:val="22"/>
                <w:szCs w:val="22"/>
              </w:rPr>
              <w:t xml:space="preserve">No pack slip to sign at pickup</w:t>
            </w:r>
          </w:p>
        </w:tc>
      </w:tr>
    </w:tbl>
    <w:p>
      <w:pPr>
        <w:spacing w:after="140" w:before="40"/>
        <w:jc w:val="center"/>
      </w:pPr>
      <w:r>
        <w:rPr>
          <w:rFonts w:ascii="Calibri" w:cs="Calibri" w:eastAsia="Calibri" w:hAnsi="Calibri"/>
          <w:i/>
          <w:iCs/>
          <w:color w:val="595959"/>
          <w:sz w:val="23"/>
          <w:szCs w:val="23"/>
        </w:rPr>
        <w:t xml:space="preserve">— both paths continue below —</w:t>
      </w:r>
    </w:p>
    <w:p>
      <w:pPr>
        <w:spacing w:after="40" w:before="40"/>
        <w:jc w:val="center"/>
      </w:pPr>
      <w:r>
        <w:drawing>
          <wp:inline distT="0" distB="0" distL="0" distR="0">
            <wp:extent cx="146304" cy="207264"/>
            <wp:effectExtent t="0" r="0" b="0" l="0"/>
            <wp:docPr id="8" name="Decorative graphic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" cy="20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 w:before="60"/>
        <w:jc w:val="center"/>
      </w:pPr>
      <w:r>
        <mc:AlternateContent>
          <mc:Choice Requires="wps">
            <w:drawing>
              <wp:inline distT="0" distB="0" distL="0" distR="0">
                <wp:extent cx="2678908" cy="603504"/>
                <wp:effectExtent l="50800" t="25400" r="50800" b="76200"/>
                <wp:docPr id="9" name="Pick up at 1311 Broida Hall. Hours: 9a–12p and 1p–4p." descr="Pick up at 1311 Broida Hall. Hours: 9a–12p and 1p–4p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8908" cy="603504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A34E33"/>
                        </a:solidFill>
                        <a:ln>
                          <a:noFill/>
                        </a:ln>
                        <a:effectLst>
                          <a:outerShdw blurRad="50800" dist="25400" dir="5400000" algn="t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txbx>
                        <w:txbxContent>
                          <w:p>
                            <w:pPr>
                              <w:spacing w:before="0" w:after="0" w:line="240" w:lineRule="auto"/>
                              <w:jc w:val="center"/>
                              <w:rPr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rFonts w:ascii="Calibri" w:cs="Calibri" w:eastAsia="Calibri" w:hAnsi="Calibri"/>
                                <w:b/>
                                <w:bCs/>
                                <w:color w:val="FFFFFF"/>
                                <w:sz w:val="29"/>
                                <w:szCs w:val="29"/>
                              </w:rPr>
                              <w:t xml:space="preserve">Pick up at 1311 Broida Hall</w:t>
                            </w:r>
                          </w:p>
                          <w:p>
                            <w:pPr>
                              <w:spacing w:before="0" w:after="0" w:line="240" w:lineRule="auto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libri" w:cs="Calibri" w:eastAsia="Calibri" w:hAnsi="Calibri"/>
                                <w:color w:val="FFFFFF"/>
                                <w:sz w:val="23"/>
                                <w:szCs w:val="23"/>
                              </w:rPr>
                              <w:t xml:space="preserve">Hours: 9a–12p and 1p–4p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</mc:AlternateContent>
      </w:r>
    </w:p>
    <w:p>
      <w:pPr>
        <w:keepNext/>
        <w:spacing w:before="140" w:after="120"/>
      </w:pPr>
      <w:r>
        <mc:AlternateContent>
          <mc:Choice Requires="wps">
            <w:drawing>
              <wp:inline distT="0" distB="0" distL="0" distR="0">
                <wp:extent cx="927973" cy="201168"/>
                <wp:effectExtent l="0" t="0" r="0" b="0"/>
                <wp:docPr id="10" name="Quick check" descr="Quick chec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973" cy="201168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8B92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0" w:lineRule="auto"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Calibri" w:cs="Calibri" w:eastAsia="Calibri" w:hAnsi="Calibri"/>
                                <w:b/>
                                <w:bCs/>
                                <w:color w:val="3A2E00"/>
                                <w:spacing w:val="12"/>
                                <w:sz w:val="17"/>
                                <w:szCs w:val="17"/>
                              </w:rPr>
                              <w:t xml:space="preserve">QUICK CHECK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</mc:AlternateContent>
      </w:r>
    </w:p>
    <w:p>
      <w:pPr>
        <w:keepNext/>
        <w:pBdr>
          <w:top w:val="single" w:sz="48" w:space="4" w:color="FCF3D6"/>
          <w:left w:val="single" w:sz="48" w:space="5" w:color="FCF3D6"/>
          <w:bottom w:val="single" w:sz="48" w:space="4" w:color="FCF3D6"/>
          <w:right w:val="single" w:sz="48" w:space="5" w:color="FCF3D6"/>
        </w:pBdr>
        <w:shd w:val="clear" w:color="auto" w:fill="FCF3D6"/>
        <w:tabs>
          <w:tab w:val="left" w:pos="580"/>
        </w:tabs>
        <w:spacing w:before="0" w:after="100"/>
        <w:ind w:left="220" w:right="220" w:firstLine="0"/>
      </w:pPr>
      <w:r>
        <w:rPr>
          <w:rFonts w:ascii="Calibri" w:cs="Calibri" w:eastAsia="Calibri" w:hAnsi="Calibri"/>
          <w:b/>
          <w:bCs/>
          <w:color w:val="7A5A08"/>
          <w:sz w:val="26"/>
          <w:szCs w:val="26"/>
        </w:rPr>
        <w:t xml:space="preserve">At the pickup shelf</w:t>
      </w:r>
    </w:p>
    <w:p>
      <w:pPr>
        <w:keepNext/>
        <w:numPr>
          <w:ilvl w:val="0"/>
          <w:numId w:val="13"/>
        </w:numPr>
        <w:pBdr>
          <w:top w:val="single" w:sz="48" w:space="4" w:color="FCF3D6"/>
          <w:left w:val="single" w:sz="48" w:space="5" w:color="FCF3D6"/>
          <w:bottom w:val="single" w:sz="48" w:space="4" w:color="FCF3D6"/>
          <w:right w:val="single" w:sz="48" w:space="5" w:color="FCF3D6"/>
        </w:pBdr>
        <w:shd w:val="clear" w:color="auto" w:fill="FCF3D6"/>
        <w:tabs>
          <w:tab w:val="left" w:pos="580"/>
        </w:tabs>
        <w:spacing w:before="0" w:after="50"/>
        <w:ind w:left="220" w:right="220" w:firstLine="0"/>
      </w:pPr>
      <w:r>
        <w:rPr>
          <w:rFonts w:ascii="Calibri" w:cs="Calibri" w:eastAsia="Calibri" w:hAnsi="Calibri"/>
          <w:color w:val="3A3A3A"/>
          <w:sz w:val="24"/>
          <w:szCs w:val="24"/>
        </w:rPr>
        <w:t xml:space="preserve">Package found under the lab PI’s name, faculty, staff, or group</w:t>
      </w:r>
    </w:p>
    <w:p>
      <w:pPr>
        <w:keepNext/>
        <w:numPr>
          <w:ilvl w:val="0"/>
          <w:numId w:val="13"/>
        </w:numPr>
        <w:pBdr>
          <w:top w:val="single" w:sz="48" w:space="4" w:color="FCF3D6"/>
          <w:left w:val="single" w:sz="48" w:space="5" w:color="FCF3D6"/>
          <w:bottom w:val="single" w:sz="48" w:space="4" w:color="FCF3D6"/>
          <w:right w:val="single" w:sz="48" w:space="5" w:color="FCF3D6"/>
        </w:pBdr>
        <w:shd w:val="clear" w:color="auto" w:fill="FCF3D6"/>
        <w:tabs>
          <w:tab w:val="left" w:pos="580"/>
        </w:tabs>
        <w:spacing w:before="0" w:after="50"/>
        <w:ind w:left="220" w:right="220" w:firstLine="0"/>
      </w:pPr>
      <w:r>
        <w:rPr>
          <w:rFonts w:ascii="Calibri" w:cs="Calibri" w:eastAsia="Calibri" w:hAnsi="Calibri"/>
          <w:color w:val="3A3A3A"/>
          <w:sz w:val="24"/>
          <w:szCs w:val="24"/>
        </w:rPr>
        <w:t xml:space="preserve">Pack slip signed and left in the pack slip stack (Gateway orders only)</w:t>
      </w:r>
    </w:p>
    <w:p>
      <w:pPr>
        <w:numPr>
          <w:ilvl w:val="0"/>
          <w:numId w:val="13"/>
        </w:numPr>
        <w:pBdr>
          <w:top w:val="single" w:sz="48" w:space="4" w:color="FCF3D6"/>
          <w:left w:val="single" w:sz="48" w:space="5" w:color="FCF3D6"/>
          <w:bottom w:val="single" w:sz="48" w:space="4" w:color="FCF3D6"/>
          <w:right w:val="single" w:sz="48" w:space="5" w:color="FCF3D6"/>
        </w:pBdr>
        <w:shd w:val="clear" w:color="auto" w:fill="FCF3D6"/>
        <w:tabs>
          <w:tab w:val="left" w:pos="580"/>
        </w:tabs>
        <w:spacing w:before="0" w:after="50"/>
        <w:ind w:left="220" w:right="220" w:firstLine="0"/>
      </w:pPr>
      <w:r>
        <w:rPr>
          <w:rFonts w:ascii="Calibri" w:cs="Calibri" w:eastAsia="Calibri" w:hAnsi="Calibri"/>
          <w:color w:val="3A3A3A"/>
          <w:sz w:val="24"/>
          <w:szCs w:val="24"/>
        </w:rPr>
        <w:t xml:space="preserve">Any note left on the package addressed, when applicable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3C4" w:sz="4" w:space="6"/>
      </w:pBdr>
      <w:tabs>
        <w:tab w:val="right" w:pos="9026"/>
      </w:tabs>
    </w:pPr>
    <w:r>
      <w:rPr>
        <w:rFonts w:ascii="Calibri" w:cs="Calibri" w:eastAsia="Calibri" w:hAnsi="Calibri"/>
        <w:b w:val="false"/>
        <w:bCs w:val="false"/>
        <w:i/>
        <w:iCs/>
        <w:color w:val="595959"/>
        <w:sz w:val="15"/>
        <w:szCs w:val="15"/>
      </w:rPr>
      <w:t xml:space="preserve">Updated 9.21.2026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b w:val="false"/>
        <w:bCs w:val="false"/>
        <w:color w:val="595959"/>
        <w:sz w:val="15"/>
        <w:szCs w:val="15"/>
      </w:rPr>
      <w:t xml:space="preserve">Page </w:t>
    </w:r>
    <w:r>
      <w:rPr>
        <w:rFonts w:ascii="Calibri" w:cs="Calibri" w:eastAsia="Calibri" w:hAnsi="Calibri"/>
        <w:b w:val="false"/>
        <w:bCs w:val="false"/>
        <w:color w:val="595959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b w:val="false"/>
        <w:bCs w:val="false"/>
        <w:color w:val="595959"/>
        <w:sz w:val="15"/>
        <w:szCs w:val="15"/>
      </w:rPr>
      <w:t xml:space="preserve"> of </w:t>
    </w:r>
    <w:r>
      <w:rPr>
        <w:rFonts w:ascii="Calibri" w:cs="Calibri" w:eastAsia="Calibri" w:hAnsi="Calibri"/>
        <w:b w:val="false"/>
        <w:bCs w:val="false"/>
        <w:color w:val="595959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0">
    <w:multiLevelType w:val="singleLevel"/>
    <w:lvl w:ilvl="0">
      <w:start w:val="1"/>
      <w:numFmt w:val="bullet"/>
      <w:lvlText w:val="●"/>
      <w:lvlJc w:val="left"/>
      <w:pPr>
        <w:ind w:left="460" w:hanging="300"/>
      </w:pPr>
      <w:rPr>
        <w:rFonts w:ascii="Calibri" w:cs="Calibri" w:eastAsia="Calibri" w:hAnsi="Calibri"/>
        <w:color w:val="3E6B96"/>
        <w:sz w:val="22"/>
        <w:szCs w:val="22"/>
      </w:rPr>
    </w:lvl>
  </w:abstractNum>
  <w:abstractNum w:abstractNumId="11">
    <w:multiLevelType w:val="singleLevel"/>
    <w:lvl w:ilvl="0">
      <w:start w:val="1"/>
      <w:numFmt w:val="bullet"/>
      <w:lvlText w:val="●"/>
      <w:lvlJc w:val="left"/>
      <w:pPr>
        <w:ind w:left="300" w:hanging="300"/>
      </w:pPr>
      <w:rPr>
        <w:rFonts w:ascii="Calibri" w:cs="Calibri" w:eastAsia="Calibri" w:hAnsi="Calibri"/>
        <w:color w:val="3E6B96"/>
        <w:sz w:val="20"/>
        <w:szCs w:val="20"/>
      </w:rPr>
    </w:lvl>
  </w:abstractNum>
  <w:abstractNum w:abstractNumId="12">
    <w:multiLevelType w:val="singleLevel"/>
    <w:lvl w:ilvl="0">
      <w:start w:val="1"/>
      <w:numFmt w:val="bullet"/>
      <w:lvlText w:val="●"/>
      <w:lvlJc w:val="left"/>
      <w:pPr>
        <w:ind w:left="300" w:hanging="300"/>
      </w:pPr>
      <w:rPr>
        <w:rFonts w:ascii="Calibri" w:cs="Calibri" w:eastAsia="Calibri" w:hAnsi="Calibri"/>
        <w:color w:val="3D7575"/>
        <w:sz w:val="20"/>
        <w:szCs w:val="20"/>
      </w:rPr>
    </w:lvl>
  </w:abstractNum>
  <w:abstractNum w:abstractNumId="13">
    <w:multiLevelType w:val="singleLevel"/>
    <w:lvl w:ilvl="0">
      <w:start w:val="1"/>
      <w:numFmt w:val="bullet"/>
      <w:lvlText w:val="✓"/>
      <w:lvlJc w:val="left"/>
      <w:pPr>
        <w:ind w:left="220" w:hanging="0"/>
      </w:pPr>
      <w:rPr>
        <w:rFonts w:ascii="Calibri" w:cs="Calibri" w:eastAsia="Calibri" w:hAnsi="Calibri"/>
        <w:b/>
        <w:bCs/>
        <w:color w:val="7A5A08"/>
        <w:sz w:val="24"/>
        <w:szCs w:val="24"/>
      </w:rPr>
    </w:lvl>
  </w:abstractNum>
  <w:num w:numId="1">
    <w:abstractNumId w:val="1"/>
    <w:lvlOverride w:ilvl="0">
      <w:startOverride w:val="1"/>
    </w:lvlOverride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8"/>
        <w:szCs w:val="28"/>
        <w:lang w:val="en-US" w:eastAsia="en-US" w:bidi="ar-SA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7" Type="http://schemas.openxmlformats.org/officeDocument/2006/relationships/footer" Target="footer1.xml"/><Relationship Id="rId27" Type="http://schemas.openxmlformats.org/officeDocument/2006/relationships/fontTable" Target="fontTable.xml"/><Relationship Id="rId8" Type="http://schemas.openxmlformats.org/officeDocument/2006/relationships/image" Target="media/877912ac1c556ce4717792206b3b3432289f959f.png"/><Relationship Id="rId9" Type="http://schemas.openxmlformats.org/officeDocument/2006/relationships/image" Target="media/68fd3e3e31a1171ce476dc08ce4daf3870544f59.png"/><Relationship Id="rId10" Type="http://schemas.openxmlformats.org/officeDocument/2006/relationships/image" Target="media/14007c95d02956001804c06c2d21d3be8bb22ecc.png"/><Relationship Id="rId11" Type="http://schemas.openxmlformats.org/officeDocument/2006/relationships/image" Target="media/arrow_down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Picking Up a Package</dc:title>
  <dc:subject>Package Receiving and Pickup</dc:subject>
  <dc:creator>UCSB Physics Department</dc:creator>
  <dc:description>How packages delivered to the Physics Purchasing Office are processed, how you are notified, and how to pick them up at 1311 Broida Hall.</dc:description>
  <cp:lastModifiedBy>Un-named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