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rFonts w:ascii="Calibri" w:cs="Calibri" w:eastAsia="Calibri" w:hAnsi="Calibri"/>
          <w:b/>
          <w:bCs/>
          <w:color w:val="2F5876"/>
          <w:sz w:val="50"/>
          <w:szCs w:val="50"/>
        </w:rPr>
        <w:t xml:space="preserve">Placing an Order on Gateway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95959"/>
          <w:sz w:val="30"/>
          <w:szCs w:val="30"/>
        </w:rPr>
        <w:t xml:space="preserve">UCSB Physics Department · Purchasing Cheat Sheet</w:t>
      </w:r>
    </w:p>
    <w:p>
      <w:pPr>
        <w:spacing w:after="340"/>
      </w:pPr>
      <w:r>
        <w:drawing>
          <wp:inline distT="0" distB="0" distL="0" distR="0">
            <wp:extent cx="3724275" cy="28575"/>
            <wp:effectExtent t="0" r="0" b="0" l="0"/>
            <wp:docPr id="1" name="Decorative navy-to-teal accent bar" descr="Decorative navy-to-teal accent 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20"/>
        <w:gridCol w:w="8940"/>
      </w:tblGrid>
      <w:t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285750" cy="285750"/>
                  <wp:effectExtent t="0" r="0" b="0" l="0"/>
                  <wp:docPr id="1" name="Section number icon" descr="Section nu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pStyle w:val="Heading1"/>
              <w:spacing w:before="260"/>
            </w:pPr>
            <w:r>
              <w:rPr>
                <w:rFonts w:ascii="Calibri" w:cs="Calibri" w:eastAsia="Calibri" w:hAnsi="Calibri"/>
                <w:b/>
                <w:bCs/>
                <w:color w:val="2F5876"/>
                <w:sz w:val="32"/>
                <w:szCs w:val="32"/>
              </w:rPr>
              <w:t xml:space="preserve">Start</w:t>
            </w:r>
          </w:p>
        </w:tc>
      </w:tr>
    </w:tbl>
    <w:p>
      <w:pPr>
        <w:shd w:fill="FFFFFF" w:val="clear"/>
        <w:spacing w:after="50" w:before="50"/>
        <w:ind w:left="160"/>
      </w:pPr>
      <w:r>
        <w:rPr>
          <w:rFonts w:ascii="Calibri" w:cs="Calibri" w:eastAsia="Calibri" w:hAnsi="Calibri"/>
          <w:color w:val="3E6B96"/>
          <w:sz w:val="22"/>
          <w:szCs w:val="22"/>
        </w:rPr>
        <w:t xml:space="preserve">●  </w:t>
      </w:r>
      <w:r>
        <w:rPr>
          <w:rFonts w:ascii="Calibri" w:cs="Calibri" w:eastAsia="Calibri" w:hAnsi="Calibri"/>
          <w:color w:val="3A3A3A"/>
          <w:sz w:val="26"/>
          <w:szCs w:val="26"/>
        </w:rPr>
        <w:t xml:space="preserve">Navigate to the </w:t>
      </w:r>
      <w:hyperlink w:history="1" r:id="rIdda1i9xgxsayqf_fhdvmwk">
        <w:r>
          <w:rPr>
            <w:rFonts w:ascii="Calibri" w:cs="Calibri" w:eastAsia="Calibri" w:hAnsi="Calibri"/>
            <w:color w:val="3E6B96"/>
            <w:sz w:val="26"/>
            <w:szCs w:val="26"/>
            <w:u w:val="single"/>
          </w:rPr>
          <w:t xml:space="preserve">Gateway homepage</w:t>
        </w:r>
      </w:hyperlink>
    </w:p>
    <w:p>
      <w:pPr>
        <w:spacing w:after="30" w:before="30"/>
        <w:jc w:val="center"/>
      </w:pPr>
      <w:r>
        <w:rPr>
          <w:rFonts w:ascii="Calibri" w:cs="Calibri" w:eastAsia="Calibri" w:hAnsi="Calibri"/>
          <w:color w:val="595959"/>
          <w:sz w:val="28"/>
          <w:szCs w:val="28"/>
        </w:rPr>
        <w:t xml:space="preserve">↓</w:t>
      </w:r>
    </w:p>
    <w:p>
      <w:pPr>
        <w:spacing w:after="60" w:before="60"/>
        <w:jc w:val="center"/>
      </w:pPr>
      <w:r>
        <w:drawing>
          <wp:inline distT="0" distB="0" distL="0" distR="0">
            <wp:extent cx="2847975" cy="647700"/>
            <wp:effectExtent t="0" r="0" b="0" l="0"/>
            <wp:docPr id="1" name="Decision: What kind of vendor?" descr="Decision: What kind of vendo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20"/>
        <w:gridCol w:w="8940"/>
      </w:tblGrid>
      <w:t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285750" cy="285750"/>
                  <wp:effectExtent t="0" r="0" b="0" l="0"/>
                  <wp:docPr id="1" name="Section number icon" descr="Section nu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pStyle w:val="Heading1"/>
              <w:spacing w:before="260"/>
            </w:pPr>
            <w:r>
              <w:rPr>
                <w:rFonts w:ascii="Calibri" w:cs="Calibri" w:eastAsia="Calibri" w:hAnsi="Calibri"/>
                <w:b/>
                <w:bCs/>
                <w:color w:val="2F5876"/>
                <w:sz w:val="32"/>
                <w:szCs w:val="32"/>
              </w:rPr>
              <w:t xml:space="preserve">Vendor type — three paths</w:t>
            </w:r>
          </w:p>
        </w:tc>
      </w:tr>
    </w:tbl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</w:trP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ECF3" w:val="clear"/>
            <w:tcMar>
              <w:top w:type="dxa" w:w="200"/>
              <w:left w:type="dxa" w:w="180"/>
              <w:bottom w:type="dxa" w:w="220"/>
              <w:right w:type="dxa" w:w="180"/>
            </w:tcMar>
          </w:tcPr>
          <w:p>
            <w:pPr>
              <w:spacing w:after="130"/>
              <w:jc w:val="center"/>
            </w:pPr>
            <w:r>
              <w:drawing>
                <wp:inline distT="0" distB="0" distL="0" distR="0">
                  <wp:extent cx="1914525" cy="581025"/>
                  <wp:effectExtent t="0" r="0" b="0" l="0"/>
                  <wp:docPr id="1" name="Punchout Supplier section label" descr="Punchout Supplier section lab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E6B96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Click the company icon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E6B96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Hosted catalog opens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E6B96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Add items, check out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E6B96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Auto-redirects to Gateway</w:t>
            </w:r>
          </w:p>
          <w:p>
            <w:pPr>
              <w:spacing w:before="140"/>
              <w:jc w:val="center"/>
            </w:pPr>
            <w:r>
              <w:drawing>
                <wp:inline distT="0" distB="0" distL="0" distR="0">
                  <wp:extent cx="1752600" cy="971550"/>
                  <wp:effectExtent t="0" r="0" b="0" l="0"/>
                  <wp:docPr id="1" name="Screenshot of the Gateway punchout supplier catalog page showing vendor tiles such as BKM, Ferguson, UCSB Campus Store, and Amazon Business" descr="Screenshot of the Gateway punchout supplier catalog page showing vendor tiles such as BKM, Ferguson, UCSB Campus Store, and Amazon Busin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4F4" w:val="clear"/>
            <w:tcMar>
              <w:top w:type="dxa" w:w="200"/>
              <w:left w:type="dxa" w:w="180"/>
              <w:bottom w:type="dxa" w:w="220"/>
              <w:right w:type="dxa" w:w="180"/>
            </w:tcMar>
          </w:tcPr>
          <w:p>
            <w:pPr>
              <w:spacing w:after="130"/>
              <w:jc w:val="center"/>
            </w:pPr>
            <w:r>
              <w:drawing>
                <wp:inline distT="0" distB="0" distL="0" distR="0">
                  <wp:extent cx="1914525" cy="533400"/>
                  <wp:effectExtent t="0" r="0" b="0" l="0"/>
                  <wp:docPr id="1" name="Non-catalog Supplier section label" descr="Non-catalog Supplier section lab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D7575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Click “Non-catalog Item”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D7575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Look up supplier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D7575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Enter product, catalog number, quantity, price, packaging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3D7575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Save &amp; go to cart</w:t>
            </w:r>
          </w:p>
          <w:p>
            <w:pPr>
              <w:spacing w:before="140"/>
              <w:jc w:val="center"/>
            </w:pPr>
            <w:r>
              <w:drawing>
                <wp:inline distT="0" distB="0" distL="0" distR="0">
                  <wp:extent cx="1752600" cy="666750"/>
                  <wp:effectExtent t="0" r="0" b="0" l="0"/>
                  <wp:docPr id="1" name="Screenshot of the Gateway 'Order a Non-Catalog Item' menu option" descr="Screenshot of the Gateway 'Order a Non-Catalog Item' menu o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EDD" w:val="clear"/>
            <w:tcMar>
              <w:top w:type="dxa" w:w="200"/>
              <w:left w:type="dxa" w:w="180"/>
              <w:bottom w:type="dxa" w:w="220"/>
              <w:right w:type="dxa" w:w="180"/>
            </w:tcMar>
          </w:tcPr>
          <w:p>
            <w:pPr>
              <w:spacing w:after="130"/>
              <w:jc w:val="center"/>
            </w:pPr>
            <w:r>
              <w:drawing>
                <wp:inline distT="0" distB="0" distL="0" distR="0">
                  <wp:extent cx="1914525" cy="571500"/>
                  <wp:effectExtent t="0" r="0" b="0" l="0"/>
                  <wp:docPr id="1" name="Not Yet in Gateway section label" descr="Not Yet in Gateway section lab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8A5C1D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Select “New Supplier Request Form”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8A5C1D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Download &amp; send vendor the Business Information Form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8A5C1D"/>
                <w:sz w:val="20"/>
                <w:szCs w:val="20"/>
              </w:rPr>
              <w:t xml:space="preserve">●  </w:t>
            </w: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Vendor returns it, plus W-9/W-8BEN, invoice, voided check/bank letter (ACH)</w:t>
            </w:r>
          </w:p>
          <w:p>
            <w:pPr>
              <w:spacing w:before="140"/>
              <w:jc w:val="center"/>
            </w:pPr>
            <w:r>
              <w:drawing>
                <wp:inline distT="0" distB="0" distL="0" distR="0">
                  <wp:extent cx="1752600" cy="752475"/>
                  <wp:effectExtent t="0" r="0" b="0" l="0"/>
                  <wp:docPr id="1" name="Screenshot of the Gateway 'Request New Supplier' menu with the New Supplier Request Form link" descr="Screenshot of the Gateway 'Request New Supplier' menu with the New Supplier Request Form 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bottom w:type="dxa" w:w="2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1971675" cy="466725"/>
                  <wp:effectExtent t="0" r="0" b="0" l="0"/>
                  <wp:docPr id="1" name="Decision: Returned the paperwork?" descr="Decision: Returned the paperwork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shd w:fill="8A5C1D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If the vendor…</w:t>
            </w:r>
          </w:p>
        </w:tc>
        <w:tc>
          <w:tcPr>
            <w:tcW w:type="dxa" w:w="7560"/>
            <w:shd w:fill="8A5C1D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Then…</w:t>
            </w:r>
          </w:p>
        </w:tc>
      </w:tr>
      <w:tr>
        <w:tc>
          <w:tcPr>
            <w:tcW w:type="dxa" w:w="1800"/>
            <w:shd w:fill="FBEEDD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A3A3A"/>
                <w:sz w:val="22"/>
                <w:szCs w:val="22"/>
              </w:rPr>
              <w:t xml:space="preserve">Returns paperwork / accepts our terms</w:t>
            </w:r>
          </w:p>
        </w:tc>
        <w:tc>
          <w:tcPr>
            <w:tcW w:type="dxa" w:w="7560"/>
            <w:shd w:fill="FBEEDD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Fill out the New Supplier Request Form with their documents → vendor added to Gateway → continue as Non-catalog Item.</w:t>
            </w:r>
          </w:p>
        </w:tc>
      </w:tr>
      <w:tr>
        <w:tc>
          <w:tcPr>
            <w:tcW w:type="dxa" w:w="1800"/>
            <w:shd w:fill="FBEEDD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A3A3A"/>
                <w:sz w:val="22"/>
                <w:szCs w:val="22"/>
              </w:rPr>
              <w:t xml:space="preserve">Doesn't / credit card only</w:t>
            </w:r>
          </w:p>
        </w:tc>
        <w:tc>
          <w:tcPr>
            <w:tcW w:type="dxa" w:w="7560"/>
            <w:shd w:fill="FBEEDD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Use Flexcard Authorization instead: add supplier &amp; contact info, description, part #, quantity, price, and a quote → add to cart.</w:t>
            </w:r>
          </w:p>
        </w:tc>
      </w:tr>
    </w:tbl>
    <w:p>
      <w:pPr>
        <w:spacing w:after="140" w:before="40"/>
        <w:jc w:val="center"/>
      </w:pPr>
      <w:r>
        <w:rPr>
          <w:rFonts w:ascii="Calibri" w:cs="Calibri" w:eastAsia="Calibri" w:hAnsi="Calibri"/>
          <w:i/>
          <w:iCs/>
          <w:color w:val="595959"/>
          <w:sz w:val="23"/>
          <w:szCs w:val="23"/>
        </w:rPr>
        <w:t xml:space="preserve">— all three paths continue below —</w:t>
      </w:r>
    </w:p>
    <w:p>
      <w:pPr>
        <w:spacing w:after="30" w:before="30"/>
        <w:jc w:val="center"/>
      </w:pPr>
      <w:r>
        <w:rPr>
          <w:rFonts w:ascii="Calibri" w:cs="Calibri" w:eastAsia="Calibri" w:hAnsi="Calibri"/>
          <w:color w:val="595959"/>
          <w:sz w:val="28"/>
          <w:szCs w:val="28"/>
        </w:rPr>
        <w:t xml:space="preserve">↓</w:t>
      </w:r>
    </w:p>
    <w:p>
      <w:pPr>
        <w:spacing w:after="60" w:before="60"/>
        <w:jc w:val="center"/>
      </w:pPr>
      <w:r>
        <w:drawing>
          <wp:inline distT="0" distB="0" distL="0" distR="0">
            <wp:extent cx="1200150" cy="533400"/>
            <wp:effectExtent t="0" r="0" b="0" l="0"/>
            <wp:docPr id="1" name="Cart step icon" descr="Cart step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 w:before="40"/>
        <w:jc w:val="center"/>
      </w:pPr>
      <w:r>
        <w:rPr>
          <w:rFonts w:ascii="Calibri" w:cs="Calibri" w:eastAsia="Calibri" w:hAnsi="Calibri"/>
          <w:i/>
          <w:iCs/>
          <w:color w:val="595959"/>
          <w:sz w:val="23"/>
          <w:szCs w:val="23"/>
        </w:rPr>
        <w:t xml:space="preserve">If not redirected: sidebar → My Carts and Orders → View Carts → open cart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20"/>
        <w:gridCol w:w="8940"/>
      </w:tblGrid>
      <w:t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285750" cy="285750"/>
                  <wp:effectExtent t="0" r="0" b="0" l="0"/>
                  <wp:docPr id="1" name="Section number icon" descr="Section nu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pStyle w:val="Heading1"/>
              <w:spacing w:before="260"/>
            </w:pPr>
            <w:r>
              <w:rPr>
                <w:rFonts w:ascii="Calibri" w:cs="Calibri" w:eastAsia="Calibri" w:hAnsi="Calibri"/>
                <w:b/>
                <w:bCs/>
                <w:color w:val="2F5876"/>
                <w:sz w:val="32"/>
                <w:szCs w:val="32"/>
              </w:rPr>
              <w:t xml:space="preserve">Finalize</w:t>
            </w:r>
          </w:p>
        </w:tc>
      </w:tr>
    </w:tbl>
    <w:p>
      <w:pPr>
        <w:keepNext/>
        <w:keepLines/>
        <w:shd w:fill="FFFFFF" w:val="clear"/>
        <w:spacing w:after="120" w:before="50"/>
        <w:ind w:left="160"/>
      </w:pPr>
      <w:r>
        <w:rPr>
          <w:rFonts w:ascii="Calibri" w:cs="Calibri" w:eastAsia="Calibri" w:hAnsi="Calibri"/>
          <w:color w:val="3E6B96"/>
          <w:sz w:val="22"/>
          <w:szCs w:val="22"/>
        </w:rPr>
        <w:t xml:space="preserve">●  </w:t>
      </w:r>
      <w:r>
        <w:rPr>
          <w:rFonts w:ascii="Calibri" w:cs="Calibri" w:eastAsia="Calibri" w:hAnsi="Calibri"/>
          <w:color w:val="3A3A3A"/>
          <w:sz w:val="26"/>
          <w:szCs w:val="26"/>
        </w:rPr>
        <w:t xml:space="preserve">Click “Finalize Cart” (top right) — </w:t>
      </w:r>
      <w:r>
        <w:drawing>
          <wp:inline distT="0" distB="0" distL="0" distR="0">
            <wp:extent cx="981075" cy="295275"/>
            <wp:effectExtent t="0" r="0" b="0" l="0"/>
            <wp:docPr id="1" name="Screenshot of the Finalize Cart button in Gateway" descr="Screenshot of the Finalize Cart button in Gate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fill="FFFFFF" w:val="clear"/>
        <w:spacing w:after="50" w:before="50"/>
        <w:ind w:left="160"/>
      </w:pPr>
      <w:r>
        <w:rPr>
          <w:rFonts w:ascii="Calibri" w:cs="Calibri" w:eastAsia="Calibri" w:hAnsi="Calibri"/>
          <w:color w:val="3E6B96"/>
          <w:sz w:val="22"/>
          <w:szCs w:val="22"/>
        </w:rPr>
        <w:t xml:space="preserve">●  </w:t>
      </w:r>
      <w:r>
        <w:rPr>
          <w:rFonts w:ascii="Calibri" w:cs="Calibri" w:eastAsia="Calibri" w:hAnsi="Calibri"/>
          <w:color w:val="3A3A3A"/>
          <w:sz w:val="26"/>
          <w:szCs w:val="26"/>
        </w:rPr>
        <w:t xml:space="preserve">Accounting Codes → pencil icon → enter GL or project CCOA code</w:t>
      </w:r>
    </w:p>
    <w:p>
      <w:pPr>
        <w:spacing w:after="140"/>
      </w:pPr>
      <w:r>
        <w:drawing>
          <wp:inline distT="0" distB="0" distL="0" distR="0">
            <wp:extent cx="981075" cy="200025"/>
            <wp:effectExtent t="0" r="0" b="0" l="0"/>
            <wp:docPr id="1" name="Quick Check label" descr="Quick Check 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3D6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7A5A08"/>
                <w:sz w:val="26"/>
                <w:szCs w:val="26"/>
              </w:rPr>
              <w:t xml:space="preserve">Before you submit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7A5A08"/>
                <w:sz w:val="24"/>
                <w:szCs w:val="24"/>
              </w:rPr>
              <w:t xml:space="preserve">✓  </w:t>
            </w:r>
            <w:r>
              <w:rPr>
                <w:rFonts w:ascii="Calibri" w:cs="Calibri" w:eastAsia="Calibri" w:hAnsi="Calibri"/>
                <w:color w:val="3A3A3A"/>
                <w:sz w:val="24"/>
                <w:szCs w:val="24"/>
              </w:rPr>
              <w:t xml:space="preserve">Each charge/item is on its own line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7A5A08"/>
                <w:sz w:val="24"/>
                <w:szCs w:val="24"/>
              </w:rPr>
              <w:t xml:space="preserve">✓  </w:t>
            </w:r>
            <w:r>
              <w:rPr>
                <w:rFonts w:ascii="Calibri" w:cs="Calibri" w:eastAsia="Calibri" w:hAnsi="Calibri"/>
                <w:color w:val="3A3A3A"/>
                <w:sz w:val="24"/>
                <w:szCs w:val="24"/>
              </w:rPr>
              <w:t xml:space="preserve">Accounting codes entered, no errors showing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7A5A08"/>
                <w:sz w:val="24"/>
                <w:szCs w:val="24"/>
              </w:rPr>
              <w:t xml:space="preserve">✓  </w:t>
            </w:r>
            <w:r>
              <w:rPr>
                <w:rFonts w:ascii="Calibri" w:cs="Calibri" w:eastAsia="Calibri" w:hAnsi="Calibri"/>
                <w:color w:val="3A3A3A"/>
                <w:sz w:val="24"/>
                <w:szCs w:val="24"/>
              </w:rPr>
              <w:t xml:space="preserve">Quote attached (skip for punchout)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7A5A08"/>
                <w:sz w:val="24"/>
                <w:szCs w:val="24"/>
              </w:rPr>
              <w:t xml:space="preserve">✓  </w:t>
            </w:r>
            <w:r>
              <w:rPr>
                <w:rFonts w:ascii="Calibri" w:cs="Calibri" w:eastAsia="Calibri" w:hAnsi="Calibri"/>
                <w:color w:val="3A3A3A"/>
                <w:sz w:val="24"/>
                <w:szCs w:val="24"/>
              </w:rPr>
              <w:t xml:space="preserve">Shipping/handling/tariff added</w:t>
            </w:r>
          </w:p>
        </w:tc>
      </w:tr>
    </w:tbl>
    <w:p>
      <w:pPr>
        <w:spacing w:after="30" w:before="30"/>
        <w:jc w:val="center"/>
      </w:pPr>
      <w:r>
        <w:rPr>
          <w:rFonts w:ascii="Calibri" w:cs="Calibri" w:eastAsia="Calibri" w:hAnsi="Calibri"/>
          <w:color w:val="595959"/>
          <w:sz w:val="28"/>
          <w:szCs w:val="28"/>
        </w:rPr>
        <w:t xml:space="preserve">↓</w:t>
      </w:r>
    </w:p>
    <w:p>
      <w:pPr>
        <w:spacing w:after="60" w:before="60"/>
        <w:jc w:val="center"/>
      </w:pPr>
      <w:r>
        <w:drawing>
          <wp:inline distT="0" distB="0" distL="0" distR="0">
            <wp:extent cx="1047750" cy="352425"/>
            <wp:effectExtent t="0" r="0" b="0" l="0"/>
            <wp:docPr id="1" name="Screenshot of the Assign Cart button in Gateway" descr="Screenshot of the Assign Cart button in Gate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60"/>
        <w:jc w:val="center"/>
      </w:pPr>
      <w:r>
        <w:drawing>
          <wp:inline distT="0" distB="0" distL="0" distR="0">
            <wp:extent cx="3505200" cy="657225"/>
            <wp:effectExtent t="0" r="0" b="0" l="0"/>
            <wp:docPr id="1" name="Assign Cart to Brianna White" descr="Assign Cart to Brianna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20"/>
        <w:gridCol w:w="8940"/>
      </w:tblGrid>
      <w:t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285750" cy="285750"/>
                  <wp:effectExtent t="0" r="0" b="0" l="0"/>
                  <wp:docPr id="1" name="Section number icon" descr="Section nu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pStyle w:val="Heading1"/>
              <w:spacing w:before="260"/>
            </w:pPr>
            <w:r>
              <w:rPr>
                <w:rFonts w:ascii="Calibri" w:cs="Calibri" w:eastAsia="Calibri" w:hAnsi="Calibri"/>
                <w:b/>
                <w:bCs/>
                <w:color w:val="2F5876"/>
                <w:sz w:val="32"/>
                <w:szCs w:val="32"/>
              </w:rPr>
              <w:t xml:space="preserve">What happens next — purchasing office</w:t>
            </w:r>
          </w:p>
        </w:tc>
      </w:tr>
    </w:tbl>
    <w:p>
      <w:pPr>
        <w:spacing w:after="130"/>
      </w:pPr>
      <w:r>
        <w:rPr>
          <w:rFonts w:ascii="Calibri" w:cs="Calibri" w:eastAsia="Calibri" w:hAnsi="Calibri"/>
          <w:b/>
          <w:bCs/>
          <w:color w:val="2F5876"/>
          <w:sz w:val="25"/>
          <w:szCs w:val="25"/>
        </w:rPr>
        <w:t xml:space="preserve">1.  </w:t>
      </w:r>
      <w:r>
        <w:rPr>
          <w:rFonts w:ascii="Calibri" w:cs="Calibri" w:eastAsia="Calibri" w:hAnsi="Calibri"/>
          <w:color w:val="3A3A3A"/>
          <w:sz w:val="25"/>
          <w:szCs w:val="25"/>
        </w:rPr>
        <w:t xml:space="preserve">Order prepped (0–1 business days typically; up to 2 at peak times)</w:t>
      </w:r>
    </w:p>
    <w:p>
      <w:pPr>
        <w:spacing w:after="130"/>
      </w:pPr>
      <w:r>
        <w:rPr>
          <w:rFonts w:ascii="Calibri" w:cs="Calibri" w:eastAsia="Calibri" w:hAnsi="Calibri"/>
          <w:b/>
          <w:bCs/>
          <w:color w:val="2F5876"/>
          <w:sz w:val="25"/>
          <w:szCs w:val="25"/>
        </w:rPr>
        <w:t xml:space="preserve">2.  </w:t>
      </w:r>
      <w:r>
        <w:rPr>
          <w:rFonts w:ascii="Calibri" w:cs="Calibri" w:eastAsia="Calibri" w:hAnsi="Calibri"/>
          <w:color w:val="3A3A3A"/>
          <w:sz w:val="25"/>
          <w:szCs w:val="25"/>
        </w:rPr>
        <w:t xml:space="preserve">Submitted for approval</w:t>
      </w:r>
    </w:p>
    <w:p>
      <w:pPr>
        <w:spacing w:after="130"/>
      </w:pPr>
      <w:r>
        <w:rPr>
          <w:rFonts w:ascii="Calibri" w:cs="Calibri" w:eastAsia="Calibri" w:hAnsi="Calibri"/>
          <w:b/>
          <w:bCs/>
          <w:color w:val="2F5876"/>
          <w:sz w:val="25"/>
          <w:szCs w:val="25"/>
        </w:rPr>
        <w:t xml:space="preserve">3.  </w:t>
      </w:r>
      <w:r>
        <w:rPr>
          <w:rFonts w:ascii="Calibri" w:cs="Calibri" w:eastAsia="Calibri" w:hAnsi="Calibri"/>
          <w:color w:val="3A3A3A"/>
          <w:sz w:val="25"/>
          <w:szCs w:val="25"/>
        </w:rPr>
        <w:t xml:space="preserve">Routes through: Purchasing → Finance → PI → other campus offices if needed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F5876"/>
          <w:sz w:val="25"/>
          <w:szCs w:val="25"/>
        </w:rPr>
        <w:t xml:space="preserve">4.  </w:t>
      </w:r>
      <w:r>
        <w:rPr>
          <w:rFonts w:ascii="Calibri" w:cs="Calibri" w:eastAsia="Calibri" w:hAnsi="Calibri"/>
          <w:color w:val="3A3A3A"/>
          <w:sz w:val="25"/>
          <w:szCs w:val="25"/>
        </w:rPr>
        <w:t xml:space="preserve">PO generated once approved</w:t>
      </w:r>
    </w:p>
    <w:p>
      <w:pPr>
        <w:shd w:fill="FBEEDD" w:val="clear"/>
        <w:spacing w:after="60"/>
        <w:ind w:left="48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→  Standard order → sent to vendor automatically</w:t>
      </w:r>
    </w:p>
    <w:p>
      <w:pPr>
        <w:shd w:fill="FBEEDD" w:val="clear"/>
        <w:spacing w:after="60"/>
        <w:ind w:left="48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→  Flexcard order → placed directly by purchasing in the order they are received</w:t>
      </w:r>
    </w:p>
    <w:p>
      <w:pPr>
        <w:spacing w:after="130"/>
      </w:pPr>
      <w:r>
        <w:rPr>
          <w:rFonts w:ascii="Calibri" w:cs="Calibri" w:eastAsia="Calibri" w:hAnsi="Calibri"/>
          <w:b/>
          <w:bCs/>
          <w:color w:val="2F5876"/>
          <w:sz w:val="25"/>
          <w:szCs w:val="25"/>
        </w:rPr>
        <w:t xml:space="preserve">5.  </w:t>
      </w:r>
      <w:r>
        <w:rPr>
          <w:rFonts w:ascii="Calibri" w:cs="Calibri" w:eastAsia="Calibri" w:hAnsi="Calibri"/>
          <w:color w:val="3A3A3A"/>
          <w:sz w:val="25"/>
          <w:szCs w:val="25"/>
        </w:rPr>
        <w:t xml:space="preserve">Vendor ships the order</w:t>
      </w:r>
    </w:p>
    <w:p>
      <w:pPr>
        <w:spacing w:after="130"/>
      </w:pPr>
      <w:r>
        <w:rPr>
          <w:rFonts w:ascii="Calibri" w:cs="Calibri" w:eastAsia="Calibri" w:hAnsi="Calibri"/>
          <w:b/>
          <w:bCs/>
          <w:color w:val="2F5876"/>
          <w:sz w:val="25"/>
          <w:szCs w:val="25"/>
        </w:rPr>
        <w:t xml:space="preserve">6.  </w:t>
      </w:r>
      <w:r>
        <w:rPr>
          <w:rFonts w:ascii="Calibri" w:cs="Calibri" w:eastAsia="Calibri" w:hAnsi="Calibri"/>
          <w:color w:val="3A3A3A"/>
          <w:sz w:val="25"/>
          <w:szCs w:val="25"/>
        </w:rPr>
        <w:t xml:space="preserve">Received &amp; checked in by purchasing</w:t>
      </w:r>
    </w:p>
    <w:p>
      <w:pPr>
        <w:spacing w:after="130"/>
      </w:pPr>
      <w:r>
        <w:rPr>
          <w:rFonts w:ascii="Calibri" w:cs="Calibri" w:eastAsia="Calibri" w:hAnsi="Calibri"/>
          <w:b/>
          <w:bCs/>
          <w:color w:val="2F5876"/>
          <w:sz w:val="25"/>
          <w:szCs w:val="25"/>
        </w:rPr>
        <w:t xml:space="preserve">7.  </w:t>
      </w:r>
      <w:r>
        <w:rPr>
          <w:rFonts w:ascii="Calibri" w:cs="Calibri" w:eastAsia="Calibri" w:hAnsi="Calibri"/>
          <w:color w:val="3A3A3A"/>
          <w:sz w:val="25"/>
          <w:szCs w:val="25"/>
        </w:rPr>
        <w:t xml:space="preserve">You're notified — ready for pickup</w:t>
      </w:r>
    </w:p>
    <w:p>
      <w:pPr>
        <w:spacing w:after="100" w:before="320"/>
      </w:pPr>
      <w:r>
        <w:drawing>
          <wp:inline distT="0" distB="0" distL="0" distR="0">
            <wp:extent cx="3724275" cy="28575"/>
            <wp:effectExtent t="0" r="0" b="0" l="0"/>
            <wp:docPr id="1" name="Decorative navy-to-teal accent bar" descr="Decorative navy-to-teal accent 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Calibri" w:cs="Calibri" w:eastAsia="Calibri" w:hAnsi="Calibri"/>
          <w:b/>
          <w:bCs/>
          <w:color w:val="2F5876"/>
          <w:sz w:val="20"/>
          <w:szCs w:val="20"/>
        </w:rPr>
        <w:t xml:space="preserve">UCSB Physics Department · Purchasing Cheat Sheet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3C4" w:sz="4" w:space="6"/>
      </w:pBdr>
      <w:tabs>
        <w:tab w:val="right" w:pos="9026"/>
      </w:tabs>
    </w:pPr>
    <w:r>
      <w:rPr>
        <w:rFonts w:ascii="Calibri" w:cs="Calibri" w:eastAsia="Calibri" w:hAnsi="Calibri"/>
        <w:b w:val="false"/>
        <w:bCs w:val="false"/>
        <w:i/>
        <w:iCs/>
        <w:color w:val="595959"/>
        <w:sz w:val="15"/>
        <w:szCs w:val="15"/>
      </w:rPr>
      <w:t xml:space="preserve">Updated 8.3.2026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t xml:space="preserve">Page </w:t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t xml:space="preserve"> of </w:t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hemeFontLang w:val="en-US"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8"/>
        <w:szCs w:val="28"/>
        <w:lang w:val="en-US" w:eastAsia="en-US" w:bidi="en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1i9xgxsayqf_fhdvmwk" Type="http://schemas.openxmlformats.org/officeDocument/2006/relationships/hyperlink" Target="https://gateway.procurement.ucsb.edu/" TargetMode="External"/><Relationship Id="rId8" Type="http://schemas.openxmlformats.org/officeDocument/2006/relationships/image" Target="media/877912ac1c556ce4717792206b3b3432289f959f.png"/><Relationship Id="rId9" Type="http://schemas.openxmlformats.org/officeDocument/2006/relationships/image" Target="media/68fd3e3e31a1171ce476dc08ce4daf3870544f59.png"/><Relationship Id="rId10" Type="http://schemas.openxmlformats.org/officeDocument/2006/relationships/image" Target="media/16a6a2dce161549561eca26896708e0979d6859f.png"/><Relationship Id="rId11" Type="http://schemas.openxmlformats.org/officeDocument/2006/relationships/image" Target="media/14007c95d02956001804c06c2d21d3be8bb22ecc.png"/><Relationship Id="rId12" Type="http://schemas.openxmlformats.org/officeDocument/2006/relationships/image" Target="media/6207bc6627d383ac01c0aa1b67be6c1b015ee5e8.png"/><Relationship Id="rId13" Type="http://schemas.openxmlformats.org/officeDocument/2006/relationships/image" Target="media/4ba2de667b06e1502dafe17ea7fb37c52ec1648a.png"/><Relationship Id="rId14" Type="http://schemas.openxmlformats.org/officeDocument/2006/relationships/image" Target="media/a6845019d2e2c4710baf82abb9ad3c6cf14dcd57.png"/><Relationship Id="rId15" Type="http://schemas.openxmlformats.org/officeDocument/2006/relationships/image" Target="media/16768c2958a9489bca86f5894afa58f71599c3c7.png"/><Relationship Id="rId16" Type="http://schemas.openxmlformats.org/officeDocument/2006/relationships/image" Target="media/92907dc8d27ed3bdbacc48373c59420de41de6c9.png"/><Relationship Id="rId17" Type="http://schemas.openxmlformats.org/officeDocument/2006/relationships/image" Target="media/fd08c8961fb5832e576ae2fdf554db5fcb7da563.png"/><Relationship Id="rId18" Type="http://schemas.openxmlformats.org/officeDocument/2006/relationships/image" Target="media/66996e855f4362be273d6025487dceb4d8634fe4.png"/><Relationship Id="rId19" Type="http://schemas.openxmlformats.org/officeDocument/2006/relationships/image" Target="media/5b11f737cbebbc69914f8484bca487b5b60ea745.png"/><Relationship Id="rId20" Type="http://schemas.openxmlformats.org/officeDocument/2006/relationships/image" Target="media/6cfaf5c99025308b671a8dc13ef3fa8d7a3fb799.png"/><Relationship Id="rId21" Type="http://schemas.openxmlformats.org/officeDocument/2006/relationships/image" Target="media/d48388b22042afcef7c5519b920a02315ba5c5b2.png"/><Relationship Id="rId22" Type="http://schemas.openxmlformats.org/officeDocument/2006/relationships/image" Target="media/67cd4dfc0623ada608f345032c1b381df509907d.png"/><Relationship Id="rId23" Type="http://schemas.openxmlformats.org/officeDocument/2006/relationships/image" Target="media/a049a46ec02bfdfab6c59c09a8763c625bc95eaa.png"/><Relationship Id="rId24" Type="http://schemas.openxmlformats.org/officeDocument/2006/relationships/image" Target="media/b47a8cd545fe8af20d677d0961b86a7646ce9f60.png"/><Relationship Id="rId25" Type="http://schemas.openxmlformats.org/officeDocument/2006/relationships/image" Target="media/1fc69b7044976a71c11833715c86ada7f937573e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Placing an Order on Gateway</dc:title>
  <dc:subject>Gateway Purchasing Process</dc:subject>
  <dc:creator>UCSB Physics Department</dc:creator>
  <dc:description>Step-by-step guide and decision reference for purchasing through Gateway, covering punchout, non-catalog, and new-supplier vendor paths.</dc:description>
  <cp:lastModifiedBy>Un-named</cp:lastModifiedBy>
  <cp:revision>1</cp:revision>
  <dcterms:created xsi:type="dcterms:W3CDTF">2026-08-04T03:05:47.141Z</dcterms:created>
  <dcterms:modified xsi:type="dcterms:W3CDTF">2026-08-04T03:05:47.141Z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